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E7D" w:rsidRDefault="00E40E7D" w14:paraId="2812C20D" w14:textId="77777777">
      <w:pPr>
        <w:spacing w:after="140" w:line="276" w:lineRule="auto"/>
      </w:pPr>
    </w:p>
    <w:p w:rsidR="00E40E7D" w:rsidRDefault="00E40E7D" w14:paraId="72AB2FEE" w14:textId="77777777">
      <w:pPr>
        <w:spacing w:after="120" w:line="276" w:lineRule="auto"/>
      </w:pPr>
    </w:p>
    <w:p w:rsidR="00E40E7D" w:rsidP="5F9ED4EE" w:rsidRDefault="00000000" w14:paraId="2C5ABB0B" w14:textId="19505D8F">
      <w:pPr>
        <w:pStyle w:val="Normal"/>
        <w:spacing w:after="140" w:line="276" w:lineRule="auto"/>
      </w:pPr>
      <w:r w:rsidRPr="5F9ED4EE" w:rsidR="2132AEDE">
        <w:rPr>
          <w:b w:val="1"/>
          <w:bCs w:val="1"/>
        </w:rPr>
        <w:t>RE:</w:t>
      </w:r>
      <w:r w:rsidRPr="5F9ED4EE" w:rsidR="08858823">
        <w:rPr>
          <w:b w:val="1"/>
          <w:bCs w:val="1"/>
        </w:rPr>
        <w:t xml:space="preserve"> </w:t>
      </w:r>
      <w:r w:rsidR="2132AEDE">
        <w:rPr/>
        <w:t xml:space="preserve">Letter of Medical Necessity — </w:t>
      </w:r>
      <w:r w:rsidR="49805F37">
        <w:rPr>
          <w:b w:val="0"/>
          <w:bCs w:val="0"/>
        </w:rPr>
        <w:t>PediaLift</w:t>
      </w:r>
      <w:r w:rsidR="49805F37">
        <w:rPr>
          <w:b w:val="0"/>
          <w:bCs w:val="0"/>
        </w:rPr>
        <w:t xml:space="preserve"> Crib Infant Access Device for Disabled Parents</w:t>
      </w:r>
      <w:r w:rsidR="2132AEDE">
        <w:rPr/>
        <w:t xml:space="preserve"> (HCPCS E1399)</w:t>
      </w:r>
    </w:p>
    <w:p w:rsidR="00E40E7D" w:rsidRDefault="00000000" w14:paraId="2FC658F5" w14:textId="77777777">
      <w:pPr>
        <w:spacing w:after="140" w:line="276" w:lineRule="auto"/>
      </w:pPr>
      <w:r>
        <w:rPr>
          <w:b/>
          <w:bCs/>
        </w:rPr>
        <w:t xml:space="preserve">Patient: </w:t>
      </w:r>
      <w:r>
        <w:t xml:space="preserve">   |   DOB:    |   Member/</w:t>
      </w:r>
      <w:proofErr w:type="gramStart"/>
      <w:r>
        <w:t>Policy #:</w:t>
      </w:r>
      <w:proofErr w:type="gramEnd"/>
      <w:r>
        <w:t xml:space="preserve"> </w:t>
      </w:r>
    </w:p>
    <w:p w:rsidR="00E40E7D" w:rsidRDefault="00000000" w14:paraId="674F7F2D" w14:textId="77777777">
      <w:pPr>
        <w:spacing w:after="160" w:line="276" w:lineRule="auto"/>
      </w:pPr>
      <w:r>
        <w:rPr>
          <w:b/>
          <w:bCs/>
        </w:rPr>
        <w:t xml:space="preserve">Primary Diagnosis (ICD-10): </w:t>
      </w:r>
    </w:p>
    <w:p w:rsidR="00E40E7D" w:rsidRDefault="00000000" w14:paraId="6FCEC8D2" w14:textId="77777777">
      <w:pPr>
        <w:spacing w:after="140" w:line="276" w:lineRule="auto"/>
      </w:pPr>
      <w:r>
        <w:t>To Whom It May Concern:</w:t>
      </w:r>
    </w:p>
    <w:p w:rsidR="00E40E7D" w:rsidRDefault="00000000" w14:paraId="6AFB1A92" w14:textId="6528AF30">
      <w:pPr>
        <w:spacing w:after="140" w:line="276" w:lineRule="auto"/>
      </w:pPr>
      <w:r w:rsidR="2132AEDE">
        <w:rPr/>
        <w:t xml:space="preserve">I am </w:t>
      </w:r>
      <w:r w:rsidR="2132AEDE">
        <w:rPr/>
        <w:t>the treating</w:t>
      </w:r>
      <w:r w:rsidR="2132AEDE">
        <w:rPr/>
        <w:t xml:space="preserve"> </w:t>
      </w:r>
      <w:r w:rsidRPr="5F9ED4EE" w:rsidR="2132AEDE">
        <w:rPr>
          <w:b w:val="1"/>
          <w:bCs w:val="1"/>
          <w:color w:val="C00000"/>
        </w:rPr>
        <w:t>[physician / physician assistant / nurse practitioner]</w:t>
      </w:r>
      <w:r w:rsidR="2132AEDE">
        <w:rPr/>
        <w:t xml:space="preserve"> for the above-named patient, and I am writing to establish the medical necessity of, and to formally prescribe, a </w:t>
      </w:r>
      <w:r w:rsidRPr="5F9ED4EE" w:rsidR="2132AEDE">
        <w:rPr>
          <w:b w:val="1"/>
          <w:bCs w:val="1"/>
        </w:rPr>
        <w:t>PediaLift</w:t>
      </w:r>
      <w:r w:rsidRPr="5F9ED4EE" w:rsidR="2132AEDE">
        <w:rPr>
          <w:b w:val="1"/>
          <w:bCs w:val="1"/>
        </w:rPr>
        <w:t xml:space="preserve"> </w:t>
      </w:r>
      <w:r w:rsidRPr="5F9ED4EE" w:rsidR="30809928">
        <w:rPr>
          <w:b w:val="1"/>
          <w:bCs w:val="1"/>
        </w:rPr>
        <w:t xml:space="preserve">Crib Infant </w:t>
      </w:r>
      <w:r w:rsidRPr="5F9ED4EE" w:rsidR="2132AEDE">
        <w:rPr>
          <w:b w:val="1"/>
          <w:bCs w:val="1"/>
        </w:rPr>
        <w:t>Access Device</w:t>
      </w:r>
      <w:r w:rsidRPr="5F9ED4EE" w:rsidR="2F1E7DFD">
        <w:rPr>
          <w:b w:val="1"/>
          <w:bCs w:val="1"/>
        </w:rPr>
        <w:t xml:space="preserve"> for Disabled Parents</w:t>
      </w:r>
      <w:r w:rsidR="2132AEDE">
        <w:rPr/>
        <w:t xml:space="preserve"> (an FDA-registered Class II durable medical equipment item, HCPCS E1399). This device is medically necessary and is </w:t>
      </w:r>
      <w:r w:rsidRPr="5F9ED4EE" w:rsidR="2132AEDE">
        <w:rPr>
          <w:b w:val="1"/>
          <w:bCs w:val="1"/>
          <w:i w:val="1"/>
          <w:iCs w:val="1"/>
        </w:rPr>
        <w:t>not</w:t>
      </w:r>
      <w:r w:rsidR="2132AEDE">
        <w:rPr/>
        <w:t xml:space="preserve"> a </w:t>
      </w:r>
      <w:r w:rsidR="2132AEDE">
        <w:rPr/>
        <w:t>convenience</w:t>
      </w:r>
      <w:r w:rsidR="2132AEDE">
        <w:rPr/>
        <w:t xml:space="preserve"> item. It is the only device of its kind, and there is no lower-cost equivalent that resolves this patient's functional deficits. I request authorization and coverage for this equipment as prescribed.</w:t>
      </w:r>
    </w:p>
    <w:p w:rsidR="00E40E7D" w:rsidRDefault="00000000" w14:paraId="3E373DAA" w14:textId="77777777">
      <w:pPr>
        <w:spacing w:before="220" w:after="100"/>
      </w:pPr>
      <w:r>
        <w:rPr>
          <w:b/>
          <w:bCs/>
          <w:color w:val="1F3864"/>
          <w:sz w:val="24"/>
          <w:szCs w:val="24"/>
        </w:rPr>
        <w:t>Clinical Background and Functional Deficits</w:t>
      </w:r>
    </w:p>
    <w:p w:rsidR="00E40E7D" w:rsidRDefault="00000000" w14:paraId="68456884" w14:textId="77777777">
      <w:pPr>
        <w:spacing w:after="140" w:line="276" w:lineRule="auto"/>
      </w:pPr>
      <w:r>
        <w:t xml:space="preserve">My patient has </w:t>
      </w:r>
      <w:proofErr w:type="gramStart"/>
      <w:r>
        <w:t>a chronic</w:t>
      </w:r>
      <w:proofErr w:type="gramEnd"/>
      <w:r>
        <w:t xml:space="preserve">, </w:t>
      </w:r>
      <w:r>
        <w:rPr>
          <w:b/>
          <w:bCs/>
          <w:color w:val="C00000"/>
        </w:rPr>
        <w:t>[long-term / permanent]</w:t>
      </w:r>
      <w:r>
        <w:t xml:space="preserve"> neuromuscular/musculoskeletal impairment that results in the loss of motor function of the lower extremities and requires the use of a wheelchair for mobility. </w:t>
      </w:r>
      <w:r>
        <w:rPr>
          <w:b/>
          <w:bCs/>
          <w:color w:val="C00000"/>
        </w:rPr>
        <w:t>[Add 1–2 patient-specific sentences: mechanism/diagnosis, date of onset, relevant exam findings — e.g., motor level, MMT grades, trunk control, spasticity, upper-extremity strength.]</w:t>
      </w:r>
    </w:p>
    <w:p w:rsidR="00E40E7D" w:rsidRDefault="00000000" w14:paraId="49C76DEA" w14:textId="77777777">
      <w:pPr>
        <w:spacing w:after="140" w:line="276" w:lineRule="auto"/>
      </w:pPr>
      <w:r>
        <w:t>As a direct and objective consequence of this impairment, the patient cannot safely bend, lift, reach into, or transfer an infant to and from a standard crib. These are not preference-based limitations; they arise from measurable deficits in lower-extremity motor function, trunk stability, and safe reaching capacity from a seated wheelchair position.</w:t>
      </w:r>
    </w:p>
    <w:p w:rsidR="00E40E7D" w:rsidRDefault="00000000" w14:paraId="02D07B4F" w14:textId="77777777">
      <w:pPr>
        <w:spacing w:before="220" w:after="100"/>
      </w:pPr>
      <w:r>
        <w:rPr>
          <w:b/>
          <w:bCs/>
          <w:color w:val="1F3864"/>
          <w:sz w:val="24"/>
          <w:szCs w:val="24"/>
        </w:rPr>
        <w:t>Objective Basis for the Functional Limitation</w:t>
      </w:r>
    </w:p>
    <w:p w:rsidR="00E40E7D" w:rsidRDefault="00000000" w14:paraId="13173C40" w14:textId="77777777">
      <w:pPr>
        <w:spacing w:after="140" w:line="276" w:lineRule="auto"/>
      </w:pPr>
      <w:r>
        <w:t>The following clinical and biomechanical factors make safe use of a standard crib impossible for this patient:</w:t>
      </w:r>
    </w:p>
    <w:p w:rsidR="00E40E7D" w:rsidRDefault="00000000" w14:paraId="7D6F1FB7" w14:textId="77777777">
      <w:pPr>
        <w:pStyle w:val="ListParagraph"/>
        <w:numPr>
          <w:ilvl w:val="0"/>
          <w:numId w:val="2"/>
        </w:numPr>
        <w:spacing w:after="90" w:line="276" w:lineRule="auto"/>
      </w:pPr>
      <w:r>
        <w:rPr>
          <w:b/>
          <w:bCs/>
        </w:rPr>
        <w:t xml:space="preserve">Accessibility — vertical reach. </w:t>
      </w:r>
      <w:r>
        <w:t xml:space="preserve">Seated in a wheelchair, the patient's </w:t>
      </w:r>
      <w:proofErr w:type="gramStart"/>
      <w:r>
        <w:t>working reach</w:t>
      </w:r>
      <w:proofErr w:type="gramEnd"/>
      <w:r>
        <w:t xml:space="preserve"> zone is well below the height of a standard crib side rail. Published anthropometric standards place a seated wheelchair user's lap height at roughly 0.60–0.64 m and a substantially reduced overhead/forward reach compared with a standing adult. The patient cannot clear the crib rail and descend into the crib interior to support and lift an infant.</w:t>
      </w:r>
    </w:p>
    <w:p w:rsidR="00E40E7D" w:rsidRDefault="00000000" w14:paraId="2B20B6BA" w14:textId="77777777">
      <w:pPr>
        <w:pStyle w:val="ListParagraph"/>
        <w:numPr>
          <w:ilvl w:val="0"/>
          <w:numId w:val="2"/>
        </w:numPr>
        <w:spacing w:after="90" w:line="276" w:lineRule="auto"/>
      </w:pPr>
      <w:r>
        <w:rPr>
          <w:b/>
          <w:bCs/>
        </w:rPr>
        <w:t xml:space="preserve">Accessibility — approach. </w:t>
      </w:r>
      <w:r>
        <w:t>The wheelchair carriage collides with the crib base, preventing the patient from getting close enough to the child. Pulling up alongside forces the patient to lean and over-reach, compounding instability.</w:t>
      </w:r>
    </w:p>
    <w:p w:rsidR="00E40E7D" w:rsidRDefault="00000000" w14:paraId="210ED22B" w14:textId="77777777">
      <w:pPr>
        <w:pStyle w:val="ListParagraph"/>
        <w:numPr>
          <w:ilvl w:val="0"/>
          <w:numId w:val="2"/>
        </w:numPr>
        <w:spacing w:after="90" w:line="276" w:lineRule="auto"/>
      </w:pPr>
      <w:r>
        <w:rPr>
          <w:b/>
          <w:bCs/>
        </w:rPr>
        <w:t xml:space="preserve">Postural stability. </w:t>
      </w:r>
      <w:r>
        <w:t xml:space="preserve">Without functional lower extremities, the patient depends on the wheelchair backrest and at least one fixed hand for trunk stability. Retrieving an infant requires two hands (to lift, support the head, and control unpredictable movement), which the patient cannot do while also maintaining a safe seated posture. Leaning against the crib to free both hands </w:t>
      </w:r>
      <w:proofErr w:type="gramStart"/>
      <w:r>
        <w:t>leaves</w:t>
      </w:r>
      <w:proofErr w:type="gramEnd"/>
      <w:r>
        <w:t xml:space="preserve"> the patient unable to shift weight back to an upright, supported position.</w:t>
      </w:r>
    </w:p>
    <w:p w:rsidR="00E40E7D" w:rsidRDefault="00000000" w14:paraId="50A171DE" w14:textId="77777777">
      <w:pPr>
        <w:pStyle w:val="ListParagraph"/>
        <w:numPr>
          <w:ilvl w:val="0"/>
          <w:numId w:val="2"/>
        </w:numPr>
        <w:spacing w:after="90" w:line="276" w:lineRule="auto"/>
      </w:pPr>
      <w:r>
        <w:rPr>
          <w:b/>
          <w:bCs/>
        </w:rPr>
        <w:lastRenderedPageBreak/>
        <w:t xml:space="preserve">Safety risk. </w:t>
      </w:r>
      <w:r>
        <w:t>These conditions create a high risk of the patient falling from the wheelchair and/or dropping the infant, with potential for serious injury or death to the child and injury to the patient. This is the specific harm the prescribed device is designed to prevent.</w:t>
      </w:r>
    </w:p>
    <w:p w:rsidR="00E40E7D" w:rsidRDefault="00000000" w14:paraId="5C9A3EF8" w14:textId="77777777">
      <w:pPr>
        <w:spacing w:before="220" w:after="100"/>
      </w:pPr>
      <w:r>
        <w:rPr>
          <w:b/>
          <w:bCs/>
          <w:color w:val="1F3864"/>
          <w:sz w:val="24"/>
          <w:szCs w:val="24"/>
        </w:rPr>
        <w:t>Infant Caregiving Is a Medically Recognized Instrumental Activity of Daily Living</w:t>
      </w:r>
    </w:p>
    <w:p w:rsidR="00E40E7D" w:rsidRDefault="00000000" w14:paraId="246E8A76" w14:textId="77777777">
      <w:pPr>
        <w:spacing w:after="140" w:line="276" w:lineRule="auto"/>
      </w:pPr>
      <w:r>
        <w:t xml:space="preserve">Caring for and supervising an infant — including safe transfer to and from a sleep surface, feeding, changing, and the administration of daily care — is classified as an </w:t>
      </w:r>
      <w:r>
        <w:rPr>
          <w:b/>
          <w:bCs/>
        </w:rPr>
        <w:t>Instrumental Activity of Daily Living (IADL)</w:t>
      </w:r>
      <w:r>
        <w:t xml:space="preserve"> under the American Occupational Therapy Association's Occupational Therapy Practice Framework, defined as providing the care and supervision needed to support a child's developmental needs. Restoring the patient's ability to perform this IADL independently and safely is a legitimate, functional medical goal — the same category of need that supports coverage of other DME that restores an activity of daily living.</w:t>
      </w:r>
    </w:p>
    <w:p w:rsidR="00E40E7D" w:rsidRDefault="00000000" w14:paraId="3FC28697" w14:textId="77777777">
      <w:pPr>
        <w:spacing w:before="220" w:after="100"/>
      </w:pPr>
      <w:r>
        <w:rPr>
          <w:b/>
          <w:bCs/>
          <w:color w:val="1F3864"/>
          <w:sz w:val="24"/>
          <w:szCs w:val="24"/>
        </w:rPr>
        <w:t>AAP Safe-Sleep Requirements Necessitate Crib-Based Access</w:t>
      </w:r>
    </w:p>
    <w:p w:rsidR="00E40E7D" w:rsidRDefault="00000000" w14:paraId="24B231C3" w14:textId="77777777">
      <w:pPr>
        <w:spacing w:after="140" w:line="276" w:lineRule="auto"/>
      </w:pPr>
      <w:r>
        <w:t xml:space="preserve">American Academy of Pediatrics safe-sleep guidance calls for the infant to have a separate, firm, flat sleep surface — a crib or bassinet — and for the caregiver to be able to </w:t>
      </w:r>
      <w:proofErr w:type="gramStart"/>
      <w:r>
        <w:t>access the infant in that space at all times</w:t>
      </w:r>
      <w:proofErr w:type="gramEnd"/>
      <w:r>
        <w:t xml:space="preserve">. A patient who cannot reach into a compliant crib cannot both (a) provide a safe sleep environment and (b) reliably respond to the infant during sleep hours. </w:t>
      </w:r>
      <w:proofErr w:type="gramStart"/>
      <w:r>
        <w:t xml:space="preserve">The </w:t>
      </w:r>
      <w:proofErr w:type="spellStart"/>
      <w:r>
        <w:t>PediaLift</w:t>
      </w:r>
      <w:proofErr w:type="spellEnd"/>
      <w:proofErr w:type="gramEnd"/>
      <w:r>
        <w:t xml:space="preserve"> resolves this conflict by making a fully AAP-compliant crib physically accessible to a wheelchair-using parent. Substitutes that eliminate the crib (e.g., placing the infant on an alternate low surface) trade one safety hazard for another and are inconsistent with safe-sleep recommendations.</w:t>
      </w:r>
    </w:p>
    <w:p w:rsidR="00E40E7D" w:rsidRDefault="00000000" w14:paraId="632BD6B0" w14:textId="77777777">
      <w:pPr>
        <w:spacing w:before="220" w:after="100"/>
      </w:pPr>
      <w:r>
        <w:rPr>
          <w:b/>
          <w:bCs/>
          <w:color w:val="1F3864"/>
          <w:sz w:val="24"/>
          <w:szCs w:val="24"/>
        </w:rPr>
        <w:t>Description of the Prescribed Device and How It Resolves the Deficit</w:t>
      </w:r>
    </w:p>
    <w:p w:rsidR="00E40E7D" w:rsidRDefault="00000000" w14:paraId="23D7F767" w14:textId="77777777">
      <w:pPr>
        <w:spacing w:after="140" w:line="276" w:lineRule="auto"/>
      </w:pPr>
      <w:r>
        <w:t xml:space="preserve">The </w:t>
      </w:r>
      <w:proofErr w:type="spellStart"/>
      <w:r>
        <w:t>PediaLift</w:t>
      </w:r>
      <w:proofErr w:type="spellEnd"/>
      <w:r>
        <w:t xml:space="preserve"> is durable medical equipment purpose-built to allow a parent with functional limitations to safely access an infant for feeding, nurturing, and daily care. Using </w:t>
      </w:r>
      <w:proofErr w:type="gramStart"/>
      <w:r>
        <w:t>a wireless</w:t>
      </w:r>
      <w:proofErr w:type="gramEnd"/>
      <w:r>
        <w:t xml:space="preserve"> remote and powered lifting actuators, the device raises the crib structure so the patient can position the wheelchair beneath it — comparable to an ADA-compliant sink vanity — bringing the patient close to the child while the wheelchair backrest maintains trunk stability. The front wall then opens, giving the patient safe, two-handed access to the infant. This eliminates the fall risk, the over-reach, and the drop risk described above. It withstands repeated use, serves a medical purpose, is not useful to a person without a qualifying impairment, and is intended for the home — meeting the CMS definition of durable medical equipment.</w:t>
      </w:r>
    </w:p>
    <w:p w:rsidR="00E40E7D" w:rsidRDefault="00000000" w14:paraId="2F3AFF9D" w14:textId="77777777">
      <w:pPr>
        <w:spacing w:before="220" w:after="100"/>
      </w:pPr>
      <w:r>
        <w:rPr>
          <w:b/>
          <w:bCs/>
          <w:color w:val="1F3864"/>
          <w:sz w:val="24"/>
          <w:szCs w:val="24"/>
        </w:rPr>
        <w:t>Less-Costly Alternatives Are Not Medically Equivalent</w:t>
      </w:r>
    </w:p>
    <w:p w:rsidR="00E40E7D" w:rsidRDefault="00000000" w14:paraId="056CF1AC" w14:textId="77777777">
      <w:pPr>
        <w:spacing w:after="140" w:line="276" w:lineRule="auto"/>
      </w:pPr>
      <w:r>
        <w:t xml:space="preserve">Each of the following lower-cost alternatives was considered and rejected as clinically inadequate, unsafe, or more costly </w:t>
      </w:r>
      <w:proofErr w:type="gramStart"/>
      <w:r>
        <w:t>over time</w:t>
      </w:r>
      <w:proofErr w:type="gramEnd"/>
      <w:r>
        <w:t>:</w:t>
      </w:r>
    </w:p>
    <w:p w:rsidR="00E40E7D" w:rsidRDefault="00000000" w14:paraId="3F7FF979" w14:textId="77777777">
      <w:pPr>
        <w:pStyle w:val="ListParagraph"/>
        <w:numPr>
          <w:ilvl w:val="0"/>
          <w:numId w:val="2"/>
        </w:numPr>
        <w:spacing w:after="90" w:line="276" w:lineRule="auto"/>
      </w:pPr>
      <w:r>
        <w:rPr>
          <w:b/>
          <w:bCs/>
        </w:rPr>
        <w:t xml:space="preserve">Standard crib. </w:t>
      </w:r>
      <w:r>
        <w:t>The core problem. It cannot be accessed by this patient from a seated position and creates the fall/drop hazard the device is prescribed to prevent.</w:t>
      </w:r>
    </w:p>
    <w:p w:rsidR="00E40E7D" w:rsidRDefault="00000000" w14:paraId="2B927452" w14:textId="77777777">
      <w:pPr>
        <w:pStyle w:val="ListParagraph"/>
        <w:numPr>
          <w:ilvl w:val="0"/>
          <w:numId w:val="2"/>
        </w:numPr>
        <w:spacing w:after="90" w:line="276" w:lineRule="auto"/>
      </w:pPr>
      <w:r>
        <w:rPr>
          <w:b/>
          <w:bCs/>
        </w:rPr>
        <w:t xml:space="preserve">DIY / home-modified crib. </w:t>
      </w:r>
      <w:r>
        <w:t xml:space="preserve">Unsafe and non-equivalent. The Consumer Product Safety Commission enforces exhaustive crib-safety standards; drop-side and detachment failures have caused infant deaths, and millions of cribs have been recalled for hazards. Expecting the patient or family to fabricate a safe, </w:t>
      </w:r>
      <w:proofErr w:type="gramStart"/>
      <w:r>
        <w:t>load-bearing</w:t>
      </w:r>
      <w:proofErr w:type="gramEnd"/>
      <w:r>
        <w:t xml:space="preserve">, powered access solution is unrealistic and </w:t>
      </w:r>
      <w:proofErr w:type="gramStart"/>
      <w:r>
        <w:t>dangerous, and</w:t>
      </w:r>
      <w:proofErr w:type="gramEnd"/>
      <w:r>
        <w:t xml:space="preserve"> forfeits the FDA/CPSC safety compliance the </w:t>
      </w:r>
      <w:proofErr w:type="spellStart"/>
      <w:r>
        <w:t>PediaLift</w:t>
      </w:r>
      <w:proofErr w:type="spellEnd"/>
      <w:r>
        <w:t xml:space="preserve"> provides.</w:t>
      </w:r>
    </w:p>
    <w:p w:rsidR="00E40E7D" w:rsidRDefault="00000000" w14:paraId="2C852DB4" w14:textId="77777777">
      <w:pPr>
        <w:pStyle w:val="ListParagraph"/>
        <w:numPr>
          <w:ilvl w:val="0"/>
          <w:numId w:val="2"/>
        </w:numPr>
        <w:spacing w:after="90" w:line="276" w:lineRule="auto"/>
      </w:pPr>
      <w:r>
        <w:rPr>
          <w:b/>
          <w:bCs/>
        </w:rPr>
        <w:lastRenderedPageBreak/>
        <w:t xml:space="preserve">Hoyer / patient lift. </w:t>
      </w:r>
      <w:r>
        <w:t>Not designed or cleared for lifting or holding an infant. Using an adult transfer lift on a child is unsafe, is not a substitute for an accessible sleep surface, and does not restore the patient's independent ability to place, retrieve, and supervise the infant in an AAP-compliant crib.</w:t>
      </w:r>
    </w:p>
    <w:p w:rsidR="00E40E7D" w:rsidRDefault="00000000" w14:paraId="0C3729E9" w14:textId="77777777">
      <w:pPr>
        <w:pStyle w:val="ListParagraph"/>
        <w:numPr>
          <w:ilvl w:val="0"/>
          <w:numId w:val="2"/>
        </w:numPr>
        <w:spacing w:after="90" w:line="276" w:lineRule="auto"/>
      </w:pPr>
      <w:r>
        <w:rPr>
          <w:b/>
          <w:bCs/>
        </w:rPr>
        <w:t xml:space="preserve">Home nursing / paid caregiver / personal </w:t>
      </w:r>
      <w:proofErr w:type="gramStart"/>
      <w:r>
        <w:rPr>
          <w:b/>
          <w:bCs/>
        </w:rPr>
        <w:t>aide</w:t>
      </w:r>
      <w:proofErr w:type="gramEnd"/>
      <w:r>
        <w:rPr>
          <w:b/>
          <w:bCs/>
        </w:rPr>
        <w:t xml:space="preserve">. </w:t>
      </w:r>
      <w:r>
        <w:t>Does not restore the patient's own functional capacity and is not continuously available — an infant's needs are 24/7. A single aide at even $13/hour for 8 hours/day, 365 days/year exceeds $36,500 per year, far surpassing the one-time cost of the device within the first year, with the expense recurring indefinitely. Substituting a caregiver for the parent also fails to address the parent's own medically recognized need to perform caregiving as an IADL.</w:t>
      </w:r>
    </w:p>
    <w:p w:rsidR="00E40E7D" w:rsidRDefault="00000000" w14:paraId="3B4F891D" w14:textId="77777777">
      <w:pPr>
        <w:pStyle w:val="ListParagraph"/>
        <w:numPr>
          <w:ilvl w:val="0"/>
          <w:numId w:val="2"/>
        </w:numPr>
        <w:spacing w:after="90" w:line="276" w:lineRule="auto"/>
      </w:pPr>
      <w:r>
        <w:rPr>
          <w:b/>
          <w:bCs/>
        </w:rPr>
        <w:t xml:space="preserve">Reliance on a spouse/partner. </w:t>
      </w:r>
      <w:r>
        <w:t>A partner cannot be present for every feeding, night waking, or emergency, and has independent obligations. This leaves the infant without a safe means of access whenever the patient is the sole available caregiver — precisely the situation the device is required to make safe.</w:t>
      </w:r>
    </w:p>
    <w:p w:rsidR="00E40E7D" w:rsidRDefault="00000000" w14:paraId="754C0396" w14:textId="77777777">
      <w:pPr>
        <w:spacing w:after="140" w:line="276" w:lineRule="auto"/>
      </w:pPr>
      <w:r>
        <w:rPr>
          <w:b/>
          <w:bCs/>
        </w:rPr>
        <w:t xml:space="preserve">There is no lower-cost item that performs the same function safely. </w:t>
      </w:r>
      <w:proofErr w:type="gramStart"/>
      <w:r>
        <w:t xml:space="preserve">The </w:t>
      </w:r>
      <w:proofErr w:type="spellStart"/>
      <w:r>
        <w:t>PediaLift</w:t>
      </w:r>
      <w:proofErr w:type="spellEnd"/>
      <w:proofErr w:type="gramEnd"/>
      <w:r>
        <w:t xml:space="preserve"> is the single provider and manufacturer of this technology; no substitutable equipment exists. The relevant comparison is therefore not against a cheaper crib, but against the recurring cost and clinical inadequacy of the alternatives above.</w:t>
      </w:r>
    </w:p>
    <w:p w:rsidR="00E40E7D" w:rsidRDefault="00000000" w14:paraId="00327A79" w14:textId="77777777">
      <w:pPr>
        <w:spacing w:before="220" w:after="100"/>
      </w:pPr>
      <w:r>
        <w:rPr>
          <w:b/>
          <w:bCs/>
          <w:color w:val="1F3864"/>
          <w:sz w:val="24"/>
          <w:szCs w:val="24"/>
        </w:rPr>
        <w:t>Medical Necessity, Not Convenience</w:t>
      </w:r>
    </w:p>
    <w:p w:rsidR="00E40E7D" w:rsidRDefault="00000000" w14:paraId="2B911381" w14:textId="77777777">
      <w:pPr>
        <w:spacing w:after="140" w:line="276" w:lineRule="auto"/>
      </w:pPr>
      <w:r>
        <w:t>The added steps of operating the device (raising the structure, positioning the chair, opening the wall) make it slower and less convenient than simply reaching into a crib — which is exactly why it is not useful to, or preferred by, a person without a qualifying impairment. Its value is strictly medical: it is the only means by which this patient can safely and independently access the infant. Peer-reviewed outcomes research on this device found that users were highly satisfied and reported clinically significant improvement in their ability to safely perform infant-care occupations after obtaining it — including putting the child to bed, reaching into the crib, and lifting the child out — establishing efficacy for the exact functional tasks at issue here. Restoring this independence also protects the patient's mental health and preserves the parent-child relationship; inability to access one's own infant is associated with significant psychological distress.</w:t>
      </w:r>
    </w:p>
    <w:p w:rsidR="00E40E7D" w:rsidRDefault="00000000" w14:paraId="77A60165" w14:textId="77777777">
      <w:pPr>
        <w:spacing w:before="220" w:after="100"/>
      </w:pPr>
      <w:r>
        <w:rPr>
          <w:b/>
          <w:bCs/>
          <w:color w:val="1F3864"/>
          <w:sz w:val="24"/>
          <w:szCs w:val="24"/>
        </w:rPr>
        <w:t>Prognosis and Home Use</w:t>
      </w:r>
    </w:p>
    <w:p w:rsidR="00E40E7D" w:rsidRDefault="00000000" w14:paraId="36907D7F" w14:textId="77777777">
      <w:pPr>
        <w:spacing w:after="140" w:line="276" w:lineRule="auto"/>
      </w:pPr>
      <w:r>
        <w:t xml:space="preserve">The patient's underlying impairment is </w:t>
      </w:r>
      <w:r>
        <w:rPr>
          <w:b/>
          <w:bCs/>
          <w:color w:val="C00000"/>
        </w:rPr>
        <w:t>[chronic / permanent / expected to persist for the foreseeable future]</w:t>
      </w:r>
      <w:r>
        <w:t>, so the functional deficit will not resolve and the need for the device is durable, not transient. The device is prescribed exclusively for use in the patient's home.</w:t>
      </w:r>
    </w:p>
    <w:p w:rsidR="00E40E7D" w:rsidRDefault="00000000" w14:paraId="602B4A13" w14:textId="77777777">
      <w:pPr>
        <w:spacing w:before="220" w:after="100"/>
      </w:pPr>
      <w:r>
        <w:rPr>
          <w:b/>
          <w:bCs/>
          <w:color w:val="1F3864"/>
          <w:sz w:val="24"/>
          <w:szCs w:val="24"/>
        </w:rPr>
        <w:t>Certification</w:t>
      </w:r>
    </w:p>
    <w:p w:rsidR="00E40E7D" w:rsidP="5F9ED4EE" w:rsidRDefault="00000000" w14:paraId="77C5AC0A" w14:textId="2151F2BE">
      <w:pPr>
        <w:pStyle w:val="Normal"/>
        <w:spacing w:after="140" w:line="276" w:lineRule="auto"/>
      </w:pPr>
      <w:r w:rsidR="2132AEDE">
        <w:rPr/>
        <w:t xml:space="preserve">Based on my clinical evaluation of this patient, I certify that the </w:t>
      </w:r>
      <w:r w:rsidR="2132AEDE">
        <w:rPr/>
        <w:t>P</w:t>
      </w:r>
      <w:r w:rsidR="6664D67C">
        <w:rPr>
          <w:b w:val="0"/>
          <w:bCs w:val="0"/>
        </w:rPr>
        <w:t>ediaLift</w:t>
      </w:r>
      <w:r w:rsidR="6664D67C">
        <w:rPr>
          <w:b w:val="0"/>
          <w:bCs w:val="0"/>
        </w:rPr>
        <w:t xml:space="preserve"> Crib Infant Access Device for Disabled Parents</w:t>
      </w:r>
      <w:r w:rsidR="2132AEDE">
        <w:rPr/>
        <w:t xml:space="preserve"> is medically necessary to enable the safe performance of a recognized Instrumental Activity of Daily Living, to prevent a foreseeable risk of serious injury to both patient and infant, and to restore the patient's independent capacity to care for the patient's child. No less-</w:t>
      </w:r>
      <w:r w:rsidR="2132AEDE">
        <w:rPr/>
        <w:t>costly</w:t>
      </w:r>
      <w:r w:rsidR="2132AEDE">
        <w:rPr/>
        <w:t xml:space="preserve"> alternative provides an equivalent, safe outcome. I respectfully request approval of coverage as prescribed. Please contact my office with any questions or before issuing any adverse determination.</w:t>
      </w:r>
    </w:p>
    <w:p w:rsidR="00E40E7D" w:rsidRDefault="00000000" w14:paraId="75660679" w14:textId="77777777">
      <w:pPr>
        <w:spacing w:after="300" w:line="276" w:lineRule="auto"/>
      </w:pPr>
      <w:r>
        <w:t>Sincerely,</w:t>
      </w:r>
    </w:p>
    <w:p w:rsidR="00E40E7D" w:rsidRDefault="00E40E7D" w14:paraId="6613401F" w14:textId="77777777">
      <w:pPr>
        <w:spacing w:after="40" w:line="276" w:lineRule="auto"/>
      </w:pPr>
    </w:p>
    <w:p w:rsidR="00E40E7D" w:rsidRDefault="00E40E7D" w14:paraId="0B8FE252" w14:textId="77777777">
      <w:pPr>
        <w:spacing w:after="20" w:line="276" w:lineRule="auto"/>
      </w:pPr>
    </w:p>
    <w:p w:rsidR="00E40E7D" w:rsidRDefault="00E40E7D" w14:paraId="29EA1D56" w14:textId="77777777">
      <w:pPr>
        <w:spacing w:after="20" w:line="276" w:lineRule="auto"/>
      </w:pPr>
    </w:p>
    <w:p w:rsidR="00E40E7D" w:rsidRDefault="00E40E7D" w14:paraId="157432E7" w14:textId="77777777">
      <w:pPr>
        <w:spacing w:after="20" w:line="276" w:lineRule="auto"/>
      </w:pPr>
    </w:p>
    <w:p w:rsidR="00E40E7D" w:rsidRDefault="00E40E7D" w14:paraId="25D18669" w14:textId="77777777">
      <w:pPr>
        <w:spacing w:after="160" w:line="276" w:lineRule="auto"/>
      </w:pPr>
    </w:p>
    <w:p w:rsidR="00E40E7D" w:rsidRDefault="00000000" w14:paraId="721E305A" w14:textId="77777777">
      <w:pPr>
        <w:spacing w:after="140" w:line="276" w:lineRule="auto"/>
      </w:pPr>
      <w:r>
        <w:rPr>
          <w:b/>
          <w:bCs/>
        </w:rPr>
        <w:t>cc:</w:t>
      </w:r>
      <w:r>
        <w:t xml:space="preserve"> </w:t>
      </w:r>
    </w:p>
    <w:sectPr w:rsidR="00E40E7D">
      <w:pgSz w:w="12240" w:h="15840" w:orient="portrait"/>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C6E"/>
    <w:multiLevelType w:val="hybridMultilevel"/>
    <w:tmpl w:val="035C5D5A"/>
    <w:lvl w:ilvl="0" w:tplc="D77AFD4A">
      <w:start w:val="1"/>
      <w:numFmt w:val="bullet"/>
      <w:lvlText w:val="•"/>
      <w:lvlJc w:val="left"/>
      <w:pPr>
        <w:ind w:left="460" w:hanging="260"/>
      </w:pPr>
    </w:lvl>
    <w:lvl w:ilvl="1" w:tplc="B4A49674">
      <w:numFmt w:val="decimal"/>
      <w:lvlText w:val=""/>
      <w:lvlJc w:val="left"/>
    </w:lvl>
    <w:lvl w:ilvl="2" w:tplc="5CD49CF4">
      <w:numFmt w:val="decimal"/>
      <w:lvlText w:val=""/>
      <w:lvlJc w:val="left"/>
    </w:lvl>
    <w:lvl w:ilvl="3" w:tplc="A54CF57A">
      <w:numFmt w:val="decimal"/>
      <w:lvlText w:val=""/>
      <w:lvlJc w:val="left"/>
    </w:lvl>
    <w:lvl w:ilvl="4" w:tplc="FF8EA91C">
      <w:numFmt w:val="decimal"/>
      <w:lvlText w:val=""/>
      <w:lvlJc w:val="left"/>
    </w:lvl>
    <w:lvl w:ilvl="5" w:tplc="49940E32">
      <w:numFmt w:val="decimal"/>
      <w:lvlText w:val=""/>
      <w:lvlJc w:val="left"/>
    </w:lvl>
    <w:lvl w:ilvl="6" w:tplc="140A0EA6">
      <w:numFmt w:val="decimal"/>
      <w:lvlText w:val=""/>
      <w:lvlJc w:val="left"/>
    </w:lvl>
    <w:lvl w:ilvl="7" w:tplc="6B340CEE">
      <w:numFmt w:val="decimal"/>
      <w:lvlText w:val=""/>
      <w:lvlJc w:val="left"/>
    </w:lvl>
    <w:lvl w:ilvl="8" w:tplc="40849BF0">
      <w:numFmt w:val="decimal"/>
      <w:lvlText w:val=""/>
      <w:lvlJc w:val="left"/>
    </w:lvl>
  </w:abstractNum>
  <w:abstractNum w:abstractNumId="1" w15:restartNumberingAfterBreak="0">
    <w:nsid w:val="73334D62"/>
    <w:multiLevelType w:val="hybridMultilevel"/>
    <w:tmpl w:val="FB022E0C"/>
    <w:lvl w:ilvl="0" w:tplc="D19CC4C2">
      <w:start w:val="1"/>
      <w:numFmt w:val="bullet"/>
      <w:lvlText w:val="●"/>
      <w:lvlJc w:val="left"/>
      <w:pPr>
        <w:ind w:left="720" w:hanging="360"/>
      </w:pPr>
    </w:lvl>
    <w:lvl w:ilvl="1" w:tplc="D67CF37E">
      <w:start w:val="1"/>
      <w:numFmt w:val="bullet"/>
      <w:lvlText w:val="○"/>
      <w:lvlJc w:val="left"/>
      <w:pPr>
        <w:ind w:left="1440" w:hanging="360"/>
      </w:pPr>
    </w:lvl>
    <w:lvl w:ilvl="2" w:tplc="BC303162">
      <w:start w:val="1"/>
      <w:numFmt w:val="bullet"/>
      <w:lvlText w:val="■"/>
      <w:lvlJc w:val="left"/>
      <w:pPr>
        <w:ind w:left="2160" w:hanging="360"/>
      </w:pPr>
    </w:lvl>
    <w:lvl w:ilvl="3" w:tplc="FEF6D182">
      <w:start w:val="1"/>
      <w:numFmt w:val="bullet"/>
      <w:lvlText w:val="●"/>
      <w:lvlJc w:val="left"/>
      <w:pPr>
        <w:ind w:left="2880" w:hanging="360"/>
      </w:pPr>
    </w:lvl>
    <w:lvl w:ilvl="4" w:tplc="F27E78EA">
      <w:start w:val="1"/>
      <w:numFmt w:val="bullet"/>
      <w:lvlText w:val="○"/>
      <w:lvlJc w:val="left"/>
      <w:pPr>
        <w:ind w:left="3600" w:hanging="360"/>
      </w:pPr>
    </w:lvl>
    <w:lvl w:ilvl="5" w:tplc="2EB2CEFC">
      <w:start w:val="1"/>
      <w:numFmt w:val="bullet"/>
      <w:lvlText w:val="■"/>
      <w:lvlJc w:val="left"/>
      <w:pPr>
        <w:ind w:left="4320" w:hanging="360"/>
      </w:pPr>
    </w:lvl>
    <w:lvl w:ilvl="6" w:tplc="50705660">
      <w:start w:val="1"/>
      <w:numFmt w:val="bullet"/>
      <w:lvlText w:val="●"/>
      <w:lvlJc w:val="left"/>
      <w:pPr>
        <w:ind w:left="5040" w:hanging="360"/>
      </w:pPr>
    </w:lvl>
    <w:lvl w:ilvl="7" w:tplc="0E30A01E">
      <w:start w:val="1"/>
      <w:numFmt w:val="bullet"/>
      <w:lvlText w:val="●"/>
      <w:lvlJc w:val="left"/>
      <w:pPr>
        <w:ind w:left="5760" w:hanging="360"/>
      </w:pPr>
    </w:lvl>
    <w:lvl w:ilvl="8" w:tplc="0CB49D18">
      <w:start w:val="1"/>
      <w:numFmt w:val="bullet"/>
      <w:lvlText w:val="●"/>
      <w:lvlJc w:val="left"/>
      <w:pPr>
        <w:ind w:left="6480" w:hanging="360"/>
      </w:pPr>
    </w:lvl>
  </w:abstractNum>
  <w:num w:numId="1" w16cid:durableId="603540005">
    <w:abstractNumId w:val="1"/>
    <w:lvlOverride w:ilvl="0">
      <w:startOverride w:val="1"/>
    </w:lvlOverride>
  </w:num>
  <w:num w:numId="2" w16cid:durableId="12267167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E7D"/>
    <w:rsid w:val="00DE36D0"/>
    <w:rsid w:val="00E40E7D"/>
    <w:rsid w:val="00FF64C6"/>
    <w:rsid w:val="08858823"/>
    <w:rsid w:val="2132AEDE"/>
    <w:rsid w:val="2F1E7DFD"/>
    <w:rsid w:val="30809928"/>
    <w:rsid w:val="49805F37"/>
    <w:rsid w:val="5F9ED4EE"/>
    <w:rsid w:val="6664D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C8C1"/>
  <w15:docId w15:val="{FFF6F62B-AC1A-4BD7-B994-CC3EEABD8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Jennifer Archer</lastModifiedBy>
  <revision>3</revision>
  <dcterms:created xsi:type="dcterms:W3CDTF">2026-07-30T19:50:00.0000000Z</dcterms:created>
  <dcterms:modified xsi:type="dcterms:W3CDTF">2026-08-05T14:26:34.1582895Z</dcterms:modified>
</coreProperties>
</file>